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2F888" w14:textId="147D0CA2" w:rsidR="00E5176F" w:rsidRDefault="00E5176F" w:rsidP="0081372E">
      <w:pPr>
        <w:tabs>
          <w:tab w:val="left" w:pos="5760"/>
        </w:tabs>
      </w:pPr>
    </w:p>
    <w:p w14:paraId="1C5A6C5C" w14:textId="53FBC02A" w:rsidR="00596CBF" w:rsidRDefault="00596CBF" w:rsidP="0081372E">
      <w:pPr>
        <w:tabs>
          <w:tab w:val="left" w:pos="5760"/>
        </w:tabs>
      </w:pPr>
    </w:p>
    <w:p w14:paraId="7C07F4AE" w14:textId="5842A6DA" w:rsidR="00596CBF" w:rsidRDefault="00596CBF" w:rsidP="0081372E">
      <w:pPr>
        <w:tabs>
          <w:tab w:val="left" w:pos="5760"/>
        </w:tabs>
      </w:pPr>
    </w:p>
    <w:p w14:paraId="32CE58E0" w14:textId="6C19CC17" w:rsidR="00596CBF" w:rsidRDefault="00596CBF" w:rsidP="00596CBF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596CBF">
        <w:rPr>
          <w:rFonts w:ascii="Arial" w:eastAsia="Times New Roman" w:hAnsi="Arial" w:cs="Arial"/>
          <w:sz w:val="24"/>
          <w:szCs w:val="24"/>
          <w:lang w:eastAsia="pt-BR"/>
        </w:rPr>
        <w:t>Confira as a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>tualizações</w:t>
      </w:r>
      <w:r w:rsidR="00800DD2">
        <w:rPr>
          <w:rFonts w:ascii="Arial" w:eastAsia="Times New Roman" w:hAnsi="Arial" w:cs="Arial"/>
          <w:sz w:val="24"/>
          <w:szCs w:val="24"/>
          <w:lang w:eastAsia="pt-BR"/>
        </w:rPr>
        <w:t xml:space="preserve"> (destacada em negrito)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 xml:space="preserve">que ocorreram no </w:t>
      </w:r>
      <w:r w:rsidRPr="00587BF2">
        <w:rPr>
          <w:rFonts w:ascii="Arial" w:eastAsia="Times New Roman" w:hAnsi="Arial" w:cs="Arial"/>
          <w:sz w:val="24"/>
          <w:szCs w:val="24"/>
          <w:lang w:eastAsia="pt-BR"/>
        </w:rPr>
        <w:t>manual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 xml:space="preserve"> de Proteção </w:t>
      </w:r>
      <w:r w:rsidR="002913BC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641FD3">
        <w:rPr>
          <w:rFonts w:ascii="Arial" w:eastAsia="Times New Roman" w:hAnsi="Arial" w:cs="Arial"/>
          <w:sz w:val="24"/>
          <w:szCs w:val="24"/>
          <w:lang w:eastAsia="pt-BR"/>
        </w:rPr>
        <w:t>Residências</w:t>
      </w:r>
      <w:r w:rsidR="00A01A69">
        <w:rPr>
          <w:rFonts w:ascii="Arial" w:eastAsia="Times New Roman" w:hAnsi="Arial" w:cs="Arial"/>
          <w:sz w:val="24"/>
          <w:szCs w:val="24"/>
          <w:lang w:eastAsia="pt-BR"/>
        </w:rPr>
        <w:t xml:space="preserve"> versão 2020.0</w:t>
      </w:r>
      <w:r w:rsidR="0022691A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Pr="00596CBF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625793F8" w14:textId="77777777" w:rsidR="00596CBF" w:rsidRPr="00587BF2" w:rsidRDefault="00596CBF" w:rsidP="00596CBF">
      <w:pPr>
        <w:tabs>
          <w:tab w:val="left" w:pos="5760"/>
        </w:tabs>
        <w:rPr>
          <w:rFonts w:ascii="Arial" w:hAnsi="Arial" w:cs="Arial"/>
          <w:sz w:val="24"/>
          <w:szCs w:val="24"/>
        </w:rPr>
      </w:pPr>
    </w:p>
    <w:p w14:paraId="1AE38ABF" w14:textId="50723381" w:rsidR="002913BC" w:rsidRPr="002913BC" w:rsidRDefault="002913BC" w:rsidP="002913BC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  <w:r w:rsidRPr="002913BC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Manual de </w:t>
      </w:r>
      <w:r w:rsidR="00641FD3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Residências</w:t>
      </w:r>
    </w:p>
    <w:p w14:paraId="264E8B0B" w14:textId="7B0A4F9E" w:rsidR="002913BC" w:rsidRDefault="002913BC" w:rsidP="002913BC">
      <w:pPr>
        <w:tabs>
          <w:tab w:val="left" w:pos="5760"/>
        </w:tabs>
        <w:rPr>
          <w:rFonts w:ascii="Arial" w:eastAsia="Times New Roman" w:hAnsi="Arial" w:cs="Arial"/>
          <w:sz w:val="24"/>
          <w:szCs w:val="24"/>
          <w:lang w:eastAsia="pt-BR"/>
        </w:rPr>
      </w:pPr>
    </w:p>
    <w:p w14:paraId="16297F56" w14:textId="7D9842AD" w:rsidR="00641FD3" w:rsidRP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       1. </w:t>
      </w:r>
      <w:r>
        <w:rPr>
          <w:rFonts w:ascii="Arial" w:eastAsia="Times New Roman" w:hAnsi="Arial" w:cs="Arial"/>
          <w:sz w:val="24"/>
          <w:szCs w:val="24"/>
          <w:lang w:eastAsia="pt-BR"/>
        </w:rPr>
        <w:t>Atualização da página de abertura.</w:t>
      </w:r>
    </w:p>
    <w:p w14:paraId="5106D298" w14:textId="5542D2AB" w:rsid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       2. Acrescentamos descrição resumida de todas as coberturas, como no Regulamento.</w:t>
      </w:r>
    </w:p>
    <w:p w14:paraId="664024D1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Incêndio, Raio e Explosão.</w:t>
      </w:r>
    </w:p>
    <w:p w14:paraId="45D15B43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0BA7046A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perdas por incêndio</w:t>
      </w:r>
      <w:r>
        <w:rPr>
          <w:rFonts w:ascii="MyriadPro-SemiExt" w:hAnsi="MyriadPro-SemiExt" w:cs="MyriadPro-SemiExt"/>
          <w:color w:val="000000"/>
        </w:rPr>
        <w:t>, queda de raio e explosão</w:t>
      </w:r>
      <w:r w:rsidRPr="000155E3">
        <w:rPr>
          <w:rFonts w:ascii="MyriadPro-SemiExt" w:hAnsi="MyriadPro-SemiExt" w:cs="MyriadPro-SemiExt"/>
          <w:color w:val="000000"/>
        </w:rPr>
        <w:t xml:space="preserve"> de qualquer natureza</w:t>
      </w:r>
      <w:r>
        <w:rPr>
          <w:color w:val="231F20"/>
          <w:w w:val="110"/>
        </w:rPr>
        <w:t xml:space="preserve">. Além dos prejuízos causados ao imóvel </w:t>
      </w:r>
      <w:r>
        <w:rPr>
          <w:color w:val="231F20"/>
          <w:spacing w:val="-3"/>
          <w:w w:val="110"/>
        </w:rPr>
        <w:t xml:space="preserve">estão </w:t>
      </w:r>
      <w:r>
        <w:rPr>
          <w:color w:val="231F20"/>
          <w:w w:val="110"/>
        </w:rPr>
        <w:t>garantidos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nesta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cobertura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prejuízos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3"/>
          <w:w w:val="110"/>
        </w:rPr>
        <w:t xml:space="preserve">decorrentes </w:t>
      </w:r>
      <w:r>
        <w:rPr>
          <w:color w:val="231F20"/>
          <w:w w:val="110"/>
        </w:rPr>
        <w:t>dos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esforços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para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combate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ao</w:t>
      </w:r>
      <w:r>
        <w:rPr>
          <w:color w:val="231F20"/>
          <w:spacing w:val="-26"/>
          <w:w w:val="110"/>
        </w:rPr>
        <w:t xml:space="preserve"> </w:t>
      </w:r>
      <w:r>
        <w:rPr>
          <w:color w:val="231F20"/>
          <w:w w:val="110"/>
        </w:rPr>
        <w:t>incêndio,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minimização das perdas e salvamento dos bens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segurados;</w:t>
      </w:r>
    </w:p>
    <w:p w14:paraId="21611FA4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260794D8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0BE5FA23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Danos Elétricos</w:t>
      </w:r>
    </w:p>
    <w:p w14:paraId="10B9D820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perdas e/ou danos materiais causados a quaisquer máquinas e</w:t>
      </w:r>
    </w:p>
    <w:p w14:paraId="44A4FB12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equipamentos eletroeletrônicos que estejam no interior da residência devido a variações anormais de tensão, curto-circuito, descargas elétricas ou qualquer efeito ou fenômeno de</w:t>
      </w:r>
    </w:p>
    <w:p w14:paraId="0840CB44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natureza elétrica.</w:t>
      </w:r>
    </w:p>
    <w:p w14:paraId="38C2AE7E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1FACF9DB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Vendaval</w:t>
      </w:r>
    </w:p>
    <w:p w14:paraId="49FA177B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perdas e/ou danos materiais causados em consequência de vendaval, furacão, ciclone, tornado e granizo.</w:t>
      </w:r>
      <w:r>
        <w:rPr>
          <w:rFonts w:ascii="MyriadPro-SemiExt" w:hAnsi="MyriadPro-SemiExt" w:cs="MyriadPro-SemiExt"/>
          <w:color w:val="000000"/>
        </w:rPr>
        <w:t xml:space="preserve"> </w:t>
      </w:r>
      <w:r w:rsidRPr="000155E3">
        <w:rPr>
          <w:rFonts w:ascii="MyriadPro-SemiExt" w:hAnsi="MyriadPro-SemiExt" w:cs="MyriadPro-SemiExt"/>
          <w:color w:val="000000"/>
        </w:rPr>
        <w:t>Considera-se, para o acionamento da cobertura de Vendaval, ventos que sejam iguais ou</w:t>
      </w:r>
      <w:r>
        <w:rPr>
          <w:rFonts w:ascii="MyriadPro-SemiExt" w:hAnsi="MyriadPro-SemiExt" w:cs="MyriadPro-SemiExt"/>
          <w:color w:val="000000"/>
        </w:rPr>
        <w:t xml:space="preserve"> </w:t>
      </w:r>
      <w:r w:rsidRPr="000155E3">
        <w:rPr>
          <w:rFonts w:ascii="MyriadPro-SemiExt" w:hAnsi="MyriadPro-SemiExt" w:cs="MyriadPro-SemiExt"/>
          <w:color w:val="000000"/>
        </w:rPr>
        <w:t>superiores a 54 km/h, devidamente comprovados por laudo meteorológico.</w:t>
      </w:r>
    </w:p>
    <w:p w14:paraId="1A63AA1E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7C8211F8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Impacto de Veículos Terrestres e Queda de Aeronaves</w:t>
      </w:r>
    </w:p>
    <w:p w14:paraId="24F84577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perdas e/ou danos materiais causados por Impacto de Veículos Terrestres, Queda de Aeronaves ou</w:t>
      </w:r>
      <w:r>
        <w:rPr>
          <w:rFonts w:ascii="MyriadPro-SemiExt" w:hAnsi="MyriadPro-SemiExt" w:cs="MyriadPro-SemiExt"/>
          <w:color w:val="000000"/>
        </w:rPr>
        <w:t xml:space="preserve"> </w:t>
      </w:r>
      <w:r w:rsidRPr="000155E3">
        <w:rPr>
          <w:rFonts w:ascii="MyriadPro-SemiExt" w:hAnsi="MyriadPro-SemiExt" w:cs="MyriadPro-SemiExt"/>
          <w:color w:val="000000"/>
        </w:rPr>
        <w:t>quaisquer outros Engenhos Aéreos ou Espaciais, desde que de propriedade e conduzidos por</w:t>
      </w:r>
      <w:r>
        <w:rPr>
          <w:rFonts w:ascii="MyriadPro-SemiExt" w:hAnsi="MyriadPro-SemiExt" w:cs="MyriadPro-SemiExt"/>
          <w:color w:val="000000"/>
        </w:rPr>
        <w:t xml:space="preserve"> </w:t>
      </w:r>
      <w:r w:rsidRPr="000155E3">
        <w:rPr>
          <w:rFonts w:ascii="MyriadPro-SemiExt" w:hAnsi="MyriadPro-SemiExt" w:cs="MyriadPro-SemiExt"/>
          <w:color w:val="000000"/>
        </w:rPr>
        <w:t>terceiros, sem vínculo ou relação de trabalho com o participante.</w:t>
      </w:r>
    </w:p>
    <w:p w14:paraId="638DAF22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4D84A170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Responsabilidade Civil Familiar</w:t>
      </w:r>
    </w:p>
    <w:p w14:paraId="743229B7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o reembolso das indenizações pelas quais o Participante/Morador venha a ser</w:t>
      </w:r>
    </w:p>
    <w:p w14:paraId="43773E20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responsabilizado civilmente na condição de pessoa privada, por danos materiais ou corporais causados</w:t>
      </w:r>
      <w:r>
        <w:rPr>
          <w:rFonts w:ascii="MyriadPro-SemiExt" w:hAnsi="MyriadPro-SemiExt" w:cs="MyriadPro-SemiExt"/>
          <w:color w:val="000000"/>
        </w:rPr>
        <w:t xml:space="preserve"> </w:t>
      </w:r>
      <w:r w:rsidRPr="000155E3">
        <w:rPr>
          <w:rFonts w:ascii="MyriadPro-SemiExt" w:hAnsi="MyriadPro-SemiExt" w:cs="MyriadPro-SemiExt"/>
          <w:color w:val="000000"/>
        </w:rPr>
        <w:t>a terceiros de maneira involuntária, por culpa que lhe possa ser imputada e por acidentes</w:t>
      </w:r>
    </w:p>
    <w:p w14:paraId="50973A26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relacionados com a existência, uso e conservação da propriedade garantida.</w:t>
      </w:r>
    </w:p>
    <w:p w14:paraId="549EAC8E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lastRenderedPageBreak/>
        <w:t>No caso de residências situadas em edifícios de apartamentos, os demais condôminos serão</w:t>
      </w:r>
    </w:p>
    <w:p w14:paraId="664E9AE0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considerados “terceiros”.</w:t>
      </w:r>
    </w:p>
    <w:p w14:paraId="709874AA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23C0902D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Vidros</w:t>
      </w:r>
    </w:p>
    <w:p w14:paraId="2D67CFE9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danos materiais causados por acidente de origem externa, tanto aos</w:t>
      </w:r>
    </w:p>
    <w:p w14:paraId="029FF504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vidros convenientemente instalados e fixados em janelas, portas e divisórias, quanto a espelhos.</w:t>
      </w:r>
    </w:p>
    <w:p w14:paraId="4D8745FC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5994C2D8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Alagamento</w:t>
      </w:r>
    </w:p>
    <w:p w14:paraId="3B03B156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os danos materiais causados pela entrada de água no imóvel segurado em consequência de</w:t>
      </w:r>
      <w:r>
        <w:rPr>
          <w:rFonts w:ascii="MyriadPro-SemiExt" w:hAnsi="MyriadPro-SemiExt" w:cs="MyriadPro-SemiExt"/>
          <w:color w:val="000000"/>
        </w:rPr>
        <w:t>:</w:t>
      </w:r>
    </w:p>
    <w:p w14:paraId="17B6F40E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>
        <w:rPr>
          <w:rFonts w:ascii="MyriadPro-SemiExt" w:hAnsi="MyriadPro-SemiExt" w:cs="MyriadPro-SemiExt"/>
          <w:color w:val="000000"/>
        </w:rPr>
        <w:t xml:space="preserve">- </w:t>
      </w:r>
      <w:r w:rsidRPr="000155E3">
        <w:rPr>
          <w:rFonts w:ascii="MyriadPro-SemiExt" w:hAnsi="MyriadPro-SemiExt" w:cs="MyriadPro-SemiExt"/>
          <w:color w:val="000000"/>
        </w:rPr>
        <w:t>Insuficiência de esgotos, galerias pluviais, desaguadouros e similares.</w:t>
      </w:r>
    </w:p>
    <w:p w14:paraId="60BD7F52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>
        <w:rPr>
          <w:rFonts w:ascii="MyriadPro-SemiExt" w:hAnsi="MyriadPro-SemiExt" w:cs="MyriadPro-SemiExt"/>
          <w:color w:val="000000"/>
        </w:rPr>
        <w:t xml:space="preserve">- </w:t>
      </w:r>
      <w:r w:rsidRPr="000155E3">
        <w:rPr>
          <w:rFonts w:ascii="MyriadPro-SemiExt" w:hAnsi="MyriadPro-SemiExt" w:cs="MyriadPro-SemiExt"/>
          <w:color w:val="000000"/>
        </w:rPr>
        <w:t>Ruptura de encanamentos, canalizações, adutoras e reservatórios, desde que estes não</w:t>
      </w:r>
    </w:p>
    <w:p w14:paraId="60CA5C81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pertençam ao imóvel garantido.</w:t>
      </w:r>
    </w:p>
    <w:p w14:paraId="4E4BBA65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>
        <w:rPr>
          <w:rFonts w:ascii="MyriadPro-SemiExt" w:hAnsi="MyriadPro-SemiExt" w:cs="MyriadPro-SemiExt"/>
          <w:color w:val="000000"/>
        </w:rPr>
        <w:t xml:space="preserve">- </w:t>
      </w:r>
      <w:r w:rsidRPr="000155E3">
        <w:rPr>
          <w:rFonts w:ascii="MyriadPro-SemiExt" w:hAnsi="MyriadPro-SemiExt" w:cs="MyriadPro-SemiExt"/>
          <w:color w:val="000000"/>
        </w:rPr>
        <w:t>Transbordamento de rios, lagos, lagoas e represas.</w:t>
      </w:r>
    </w:p>
    <w:p w14:paraId="4A3AA65B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>
        <w:rPr>
          <w:rFonts w:ascii="MyriadPro-SemiExt" w:hAnsi="MyriadPro-SemiExt" w:cs="MyriadPro-SemiExt"/>
          <w:color w:val="000000"/>
        </w:rPr>
        <w:t xml:space="preserve">- </w:t>
      </w:r>
      <w:r w:rsidRPr="000155E3">
        <w:rPr>
          <w:rFonts w:ascii="MyriadPro-SemiExt" w:hAnsi="MyriadPro-SemiExt" w:cs="MyriadPro-SemiExt"/>
          <w:color w:val="000000"/>
        </w:rPr>
        <w:t>Trombas d’água, chuvas ou aguaceiros.</w:t>
      </w:r>
    </w:p>
    <w:p w14:paraId="470CDFF4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53F866E3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Desmoronamento</w:t>
      </w:r>
    </w:p>
    <w:p w14:paraId="7B8FE4BC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perdas e/ou danos materiais decorrentes de desmoronamento parcial</w:t>
      </w:r>
    </w:p>
    <w:p w14:paraId="5A46EB12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ou total, decorrente de convulsões da natureza, inclusive</w:t>
      </w:r>
    </w:p>
    <w:p w14:paraId="6DB4E53B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inundação.</w:t>
      </w:r>
    </w:p>
    <w:p w14:paraId="4FCB0484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• Para efeito dessa cobertura, entende-se por:</w:t>
      </w:r>
    </w:p>
    <w:p w14:paraId="3A790E00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o Desmoronamento parcial: o desmoronamento de paredes ou de qualquer elemento</w:t>
      </w:r>
    </w:p>
    <w:p w14:paraId="511AEBDE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estrutural (coluna, viga, laje de piso ou de teto), excetuando-se o simples desabamento de</w:t>
      </w:r>
    </w:p>
    <w:p w14:paraId="10D783A3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revestimentos, beirais, acabamentos, efeitos arquitetônicos, telhas e similares.</w:t>
      </w:r>
    </w:p>
    <w:p w14:paraId="36E1AB7A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</w:p>
    <w:p w14:paraId="0A7C480E" w14:textId="77777777" w:rsidR="00641FD3" w:rsidRP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  <w:u w:val="single"/>
        </w:rPr>
      </w:pPr>
      <w:r w:rsidRPr="00641FD3">
        <w:rPr>
          <w:rFonts w:ascii="MyriadPro-SemiExt" w:hAnsi="MyriadPro-SemiExt" w:cs="MyriadPro-SemiExt"/>
          <w:color w:val="000000"/>
          <w:u w:val="single"/>
        </w:rPr>
        <w:t>Roubo e Furto de bens</w:t>
      </w:r>
    </w:p>
    <w:p w14:paraId="5CE507AB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Garante cobertura para perdas e/ou danos materiais causados por roubo ou furto qualificado</w:t>
      </w:r>
    </w:p>
    <w:p w14:paraId="59640901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ocorrido dentro de residência</w:t>
      </w:r>
      <w:r>
        <w:rPr>
          <w:rFonts w:ascii="MyriadPro-SemiExt" w:hAnsi="MyriadPro-SemiExt" w:cs="MyriadPro-SemiExt"/>
          <w:color w:val="000000"/>
        </w:rPr>
        <w:t>.</w:t>
      </w:r>
    </w:p>
    <w:p w14:paraId="6DBA5C0E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Essa cobertura abrange também, desde que decorrentes da consumação ou tentativa de</w:t>
      </w:r>
    </w:p>
    <w:p w14:paraId="216A661F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roubo ou furto qualificado:</w:t>
      </w:r>
    </w:p>
    <w:p w14:paraId="09DC6F6F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o Danos materiais diretamente causados à residência, tais como portas, janelas, fechaduras,</w:t>
      </w:r>
    </w:p>
    <w:p w14:paraId="68ABA354" w14:textId="77777777" w:rsidR="00641FD3" w:rsidRPr="000155E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objetos do imóvel (pias, maçanetas, bidês) e outras partes da propriedade e de dependências</w:t>
      </w:r>
    </w:p>
    <w:p w14:paraId="1BA5BB96" w14:textId="77777777" w:rsidR="00641FD3" w:rsidRDefault="00641FD3" w:rsidP="00641FD3">
      <w:pPr>
        <w:autoSpaceDE w:val="0"/>
        <w:autoSpaceDN w:val="0"/>
        <w:adjustRightInd w:val="0"/>
        <w:rPr>
          <w:rFonts w:ascii="MyriadPro-SemiExt" w:hAnsi="MyriadPro-SemiExt" w:cs="MyriadPro-SemiExt"/>
          <w:color w:val="000000"/>
        </w:rPr>
      </w:pPr>
      <w:r w:rsidRPr="000155E3">
        <w:rPr>
          <w:rFonts w:ascii="MyriadPro-SemiExt" w:hAnsi="MyriadPro-SemiExt" w:cs="MyriadPro-SemiExt"/>
          <w:color w:val="000000"/>
        </w:rPr>
        <w:t>onde se encontram os bens cobertos.</w:t>
      </w:r>
    </w:p>
    <w:p w14:paraId="7F98D2A4" w14:textId="77777777" w:rsidR="00641FD3" w:rsidRP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DC9EE95" w14:textId="79036DE6" w:rsidR="00641FD3" w:rsidRP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3. Retirado da cobertura de Roubo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o texto 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“formulários no sistema”: </w:t>
      </w:r>
      <w:r>
        <w:rPr>
          <w:rFonts w:ascii="Arial" w:eastAsia="Times New Roman" w:hAnsi="Arial" w:cs="Arial"/>
          <w:sz w:val="24"/>
          <w:szCs w:val="24"/>
          <w:lang w:eastAsia="pt-BR"/>
        </w:rPr>
        <w:t>Final:</w:t>
      </w:r>
    </w:p>
    <w:p w14:paraId="16D28A0C" w14:textId="77777777" w:rsidR="00641FD3" w:rsidRPr="00641FD3" w:rsidRDefault="00641FD3" w:rsidP="00641FD3">
      <w:pPr>
        <w:spacing w:before="100" w:beforeAutospacing="1" w:after="100" w:afterAutospacing="1"/>
        <w:ind w:left="645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» Relação completa dos bens subtraídos incluindo valores e quantidade formulários no sistema;</w:t>
      </w:r>
    </w:p>
    <w:p w14:paraId="26069F84" w14:textId="2082E701" w:rsidR="00641FD3" w:rsidRP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 4. </w:t>
      </w:r>
      <w:r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crescentamos exclusões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em </w:t>
      </w:r>
      <w:r w:rsidRPr="00641FD3">
        <w:rPr>
          <w:rFonts w:ascii="Arial" w:eastAsia="Times New Roman" w:hAnsi="Arial" w:cs="Arial"/>
          <w:sz w:val="24"/>
          <w:szCs w:val="24"/>
          <w:u w:val="single"/>
          <w:lang w:eastAsia="pt-BR"/>
        </w:rPr>
        <w:t>Casos em que não garante o reembolso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0EBAECFD" w14:textId="73EFE481" w:rsidR="0022691A" w:rsidRPr="0022691A" w:rsidRDefault="00641FD3" w:rsidP="0022691A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 w:rsidR="0022691A" w:rsidRPr="0022691A">
        <w:rPr>
          <w:rFonts w:ascii="Arial" w:eastAsia="Times New Roman" w:hAnsi="Arial" w:cs="Arial"/>
          <w:sz w:val="24"/>
          <w:szCs w:val="24"/>
          <w:lang w:eastAsia="pt-BR"/>
        </w:rPr>
        <w:t>Ocorrências que não foram registradas no Sistema</w:t>
      </w:r>
      <w:r w:rsidR="002269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2691A" w:rsidRPr="0022691A">
        <w:rPr>
          <w:rFonts w:ascii="Arial" w:eastAsia="Times New Roman" w:hAnsi="Arial" w:cs="Arial"/>
          <w:sz w:val="24"/>
          <w:szCs w:val="24"/>
          <w:lang w:eastAsia="pt-BR"/>
        </w:rPr>
        <w:t>ARMS ou no aplicativo ARM SA em até 15 (quinze)</w:t>
      </w:r>
      <w:r w:rsidR="0022691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2691A" w:rsidRPr="0022691A">
        <w:rPr>
          <w:rFonts w:ascii="Arial" w:eastAsia="Times New Roman" w:hAnsi="Arial" w:cs="Arial"/>
          <w:sz w:val="24"/>
          <w:szCs w:val="24"/>
          <w:lang w:eastAsia="pt-BR"/>
        </w:rPr>
        <w:t>dias da data do ocorrido;</w:t>
      </w:r>
    </w:p>
    <w:p w14:paraId="7E83711C" w14:textId="1E77B015" w:rsidR="0022691A" w:rsidRDefault="0022691A" w:rsidP="0022691A">
      <w:pPr>
        <w:autoSpaceDE w:val="0"/>
        <w:autoSpaceDN w:val="0"/>
        <w:adjustRightInd w:val="0"/>
        <w:rPr>
          <w:rFonts w:ascii="AmsiProNarw-Regular" w:hAnsi="AmsiProNarw-Regular" w:cs="AmsiProNarw-Regular"/>
          <w:color w:val="082C76"/>
          <w:sz w:val="18"/>
          <w:szCs w:val="18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 w:rsidRPr="0022691A">
        <w:rPr>
          <w:rFonts w:ascii="Arial" w:eastAsia="Times New Roman" w:hAnsi="Arial" w:cs="Arial"/>
          <w:sz w:val="24"/>
          <w:szCs w:val="24"/>
          <w:lang w:eastAsia="pt-BR"/>
        </w:rPr>
        <w:t>Ocorrências que estejam com documentos ou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2691A">
        <w:rPr>
          <w:rFonts w:ascii="Arial" w:eastAsia="Times New Roman" w:hAnsi="Arial" w:cs="Arial"/>
          <w:sz w:val="24"/>
          <w:szCs w:val="24"/>
          <w:lang w:eastAsia="pt-BR"/>
        </w:rPr>
        <w:t>informações pendentes com mais de 6 meses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2691A">
        <w:rPr>
          <w:rFonts w:ascii="Arial" w:eastAsia="Times New Roman" w:hAnsi="Arial" w:cs="Arial"/>
          <w:sz w:val="24"/>
          <w:szCs w:val="24"/>
          <w:lang w:eastAsia="pt-BR"/>
        </w:rPr>
        <w:t>da data da ocorrência, essas serão canceladas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22691A">
        <w:rPr>
          <w:rFonts w:ascii="Arial" w:eastAsia="Times New Roman" w:hAnsi="Arial" w:cs="Arial"/>
          <w:sz w:val="24"/>
          <w:szCs w:val="24"/>
          <w:lang w:eastAsia="pt-BR"/>
        </w:rPr>
        <w:t xml:space="preserve">automaticamente pelo sistema </w:t>
      </w:r>
      <w:proofErr w:type="spellStart"/>
      <w:r w:rsidRPr="0022691A">
        <w:rPr>
          <w:rFonts w:ascii="Arial" w:eastAsia="Times New Roman" w:hAnsi="Arial" w:cs="Arial"/>
          <w:sz w:val="24"/>
          <w:szCs w:val="24"/>
          <w:lang w:eastAsia="pt-BR"/>
        </w:rPr>
        <w:t>ARMsystems</w:t>
      </w:r>
      <w:proofErr w:type="spellEnd"/>
      <w:r>
        <w:rPr>
          <w:rFonts w:ascii="AmsiProNarw-Regular" w:hAnsi="AmsiProNarw-Regular" w:cs="AmsiProNarw-Regular"/>
          <w:color w:val="082C76"/>
          <w:sz w:val="18"/>
          <w:szCs w:val="18"/>
        </w:rPr>
        <w:t>;</w:t>
      </w:r>
    </w:p>
    <w:p w14:paraId="70AAE726" w14:textId="77777777" w:rsidR="0022691A" w:rsidRDefault="0022691A" w:rsidP="0022691A">
      <w:pPr>
        <w:autoSpaceDE w:val="0"/>
        <w:autoSpaceDN w:val="0"/>
        <w:adjustRightInd w:val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722446C" w14:textId="30D6404E" w:rsidR="00641FD3" w:rsidRPr="00641FD3" w:rsidRDefault="0022691A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- </w:t>
      </w:r>
      <w:r w:rsidR="00641FD3"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Plantas de qualquer espécie, quiosques, jardins e </w:t>
      </w:r>
      <w:r w:rsidR="00641FD3"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animais de estimação.</w:t>
      </w:r>
    </w:p>
    <w:p w14:paraId="28A7C94A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- Joias </w:t>
      </w:r>
    </w:p>
    <w:p w14:paraId="47E1DE7E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Produtos de beleza e outros de uso pessoal</w:t>
      </w:r>
    </w:p>
    <w:p w14:paraId="3F2173F8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Mercadorias e materiais de trabalho</w:t>
      </w:r>
    </w:p>
    <w:p w14:paraId="016AD607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Materiais de construção</w:t>
      </w:r>
    </w:p>
    <w:p w14:paraId="7AA1715A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Vandalismo</w:t>
      </w:r>
    </w:p>
    <w:p w14:paraId="1E868D59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AE953E5" w14:textId="77777777" w:rsidR="00641FD3" w:rsidRPr="00641FD3" w:rsidRDefault="00641FD3" w:rsidP="00641FD3">
      <w:pPr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     5. Em assistência 24h:</w:t>
      </w:r>
    </w:p>
    <w:p w14:paraId="54443362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Exclusão da descrição do serviço de Transmissão de mensagens urgentes;</w:t>
      </w:r>
    </w:p>
    <w:p w14:paraId="57742379" w14:textId="77777777" w:rsidR="00641FD3" w:rsidRPr="00641FD3" w:rsidRDefault="00641FD3" w:rsidP="00641FD3">
      <w:pPr>
        <w:spacing w:before="100" w:beforeAutospacing="1" w:after="100" w:afterAutospacing="1"/>
        <w:ind w:left="720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Em serviço de limpeza, acrescentado texto: </w:t>
      </w: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Nesta apólice não é fornecido o serviço de limpeza de caixa d’água.</w:t>
      </w:r>
    </w:p>
    <w:p w14:paraId="1D81AFE0" w14:textId="77777777" w:rsidR="00641FD3" w:rsidRPr="00641FD3" w:rsidRDefault="00641FD3" w:rsidP="00641FD3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>      6. Na última página de contatos:</w:t>
      </w:r>
    </w:p>
    <w:p w14:paraId="1344F2D4" w14:textId="77777777" w:rsidR="00641FD3" w:rsidRPr="00641FD3" w:rsidRDefault="00641FD3" w:rsidP="00641FD3">
      <w:pPr>
        <w:spacing w:before="100" w:beforeAutospacing="1" w:after="100" w:afterAutospacing="1"/>
        <w:ind w:left="645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Atualização do nome do contato </w:t>
      </w:r>
      <w:r w:rsidRPr="00641FD3">
        <w:rPr>
          <w:rFonts w:ascii="Arial" w:eastAsia="Times New Roman" w:hAnsi="Arial" w:cs="Arial"/>
          <w:sz w:val="24"/>
          <w:szCs w:val="24"/>
          <w:u w:val="single"/>
          <w:lang w:eastAsia="pt-BR"/>
        </w:rPr>
        <w:t>de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 ARM 24h </w:t>
      </w:r>
      <w:r w:rsidRPr="00641FD3">
        <w:rPr>
          <w:rFonts w:ascii="Arial" w:eastAsia="Times New Roman" w:hAnsi="Arial" w:cs="Arial"/>
          <w:sz w:val="24"/>
          <w:szCs w:val="24"/>
          <w:u w:val="single"/>
          <w:lang w:eastAsia="pt-BR"/>
        </w:rPr>
        <w:t>para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641FD3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Emergência - ARM</w:t>
      </w:r>
      <w:r w:rsidRPr="00641FD3">
        <w:rPr>
          <w:rFonts w:ascii="Arial" w:eastAsia="Times New Roman" w:hAnsi="Arial" w:cs="Arial"/>
          <w:sz w:val="24"/>
          <w:szCs w:val="24"/>
          <w:lang w:eastAsia="pt-BR"/>
        </w:rPr>
        <w:t xml:space="preserve"> (61) 98277-4300</w:t>
      </w:r>
    </w:p>
    <w:p w14:paraId="5724694F" w14:textId="77777777" w:rsidR="00641FD3" w:rsidRPr="00587BF2" w:rsidRDefault="00641FD3" w:rsidP="00641FD3">
      <w:pPr>
        <w:spacing w:before="100" w:beforeAutospacing="1" w:after="100" w:afterAutospacing="1"/>
        <w:ind w:left="645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B0918E1" w14:textId="270C70C4" w:rsidR="00596CBF" w:rsidRPr="00596CBF" w:rsidRDefault="00596CBF" w:rsidP="0081372E">
      <w:pPr>
        <w:tabs>
          <w:tab w:val="left" w:pos="5760"/>
        </w:tabs>
        <w:rPr>
          <w:rFonts w:ascii="Arial" w:hAnsi="Arial" w:cs="Arial"/>
          <w:sz w:val="24"/>
          <w:szCs w:val="24"/>
        </w:rPr>
      </w:pPr>
    </w:p>
    <w:p w14:paraId="234EE0F4" w14:textId="0721DA51" w:rsidR="00596CBF" w:rsidRPr="00596CBF" w:rsidRDefault="00596CBF" w:rsidP="0081372E">
      <w:pPr>
        <w:tabs>
          <w:tab w:val="left" w:pos="5760"/>
        </w:tabs>
        <w:rPr>
          <w:rFonts w:ascii="Arial" w:hAnsi="Arial" w:cs="Arial"/>
          <w:sz w:val="24"/>
          <w:szCs w:val="24"/>
        </w:rPr>
      </w:pPr>
      <w:r w:rsidRPr="00596CBF">
        <w:rPr>
          <w:rFonts w:ascii="Arial" w:hAnsi="Arial" w:cs="Arial"/>
          <w:sz w:val="24"/>
          <w:szCs w:val="24"/>
        </w:rPr>
        <w:t>Confira o manual completo para mais informações.</w:t>
      </w:r>
    </w:p>
    <w:sectPr w:rsidR="00596CBF" w:rsidRPr="00596CBF" w:rsidSect="00E5176F">
      <w:headerReference w:type="default" r:id="rId7"/>
      <w:footerReference w:type="default" r:id="rId8"/>
      <w:pgSz w:w="11906" w:h="16838"/>
      <w:pgMar w:top="2127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C6CB8" w14:textId="77777777" w:rsidR="0076371D" w:rsidRDefault="0076371D" w:rsidP="00926AEC">
      <w:r>
        <w:separator/>
      </w:r>
    </w:p>
  </w:endnote>
  <w:endnote w:type="continuationSeparator" w:id="0">
    <w:p w14:paraId="173220DE" w14:textId="77777777" w:rsidR="0076371D" w:rsidRDefault="0076371D" w:rsidP="00926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SemiExt">
    <w:altName w:val="Calibri"/>
    <w:panose1 w:val="020B0505030403020204"/>
    <w:charset w:val="00"/>
    <w:family w:val="swiss"/>
    <w:notTrueType/>
    <w:pitch w:val="default"/>
    <w:sig w:usb0="00000003" w:usb1="00000000" w:usb2="00000000" w:usb3="00000000" w:csb0="00000001" w:csb1="00000000"/>
  </w:font>
  <w:font w:name="AmsiProNarw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9BA23" w14:textId="77777777" w:rsidR="003C7EFB" w:rsidRPr="007C2B97" w:rsidRDefault="003C7EFB" w:rsidP="003C7EFB">
    <w:pPr>
      <w:pStyle w:val="Rodap"/>
      <w:jc w:val="cen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AE866D" w14:textId="77777777" w:rsidR="0076371D" w:rsidRDefault="0076371D" w:rsidP="00926AEC">
      <w:r>
        <w:separator/>
      </w:r>
    </w:p>
  </w:footnote>
  <w:footnote w:type="continuationSeparator" w:id="0">
    <w:p w14:paraId="7A37A1F3" w14:textId="77777777" w:rsidR="0076371D" w:rsidRDefault="0076371D" w:rsidP="00926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42543" w14:textId="77777777" w:rsidR="003C7EFB" w:rsidRDefault="00F67440" w:rsidP="0081372E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FB361F" wp14:editId="2058201A">
          <wp:simplePos x="0" y="0"/>
          <wp:positionH relativeFrom="margin">
            <wp:posOffset>-1120775</wp:posOffset>
          </wp:positionH>
          <wp:positionV relativeFrom="margin">
            <wp:posOffset>-1371600</wp:posOffset>
          </wp:positionV>
          <wp:extent cx="7635875" cy="10799445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AR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5" cy="10799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4648BF" w14:textId="77777777" w:rsidR="003C7EFB" w:rsidRDefault="003C7E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454EE"/>
    <w:multiLevelType w:val="multilevel"/>
    <w:tmpl w:val="DA2EB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EA0E64"/>
    <w:multiLevelType w:val="multilevel"/>
    <w:tmpl w:val="AA40E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002CB4"/>
    <w:multiLevelType w:val="multilevel"/>
    <w:tmpl w:val="50567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DC62FD"/>
    <w:multiLevelType w:val="multilevel"/>
    <w:tmpl w:val="7B387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304B99"/>
    <w:multiLevelType w:val="multilevel"/>
    <w:tmpl w:val="C8423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AEC"/>
    <w:rsid w:val="00096AFE"/>
    <w:rsid w:val="00143274"/>
    <w:rsid w:val="001A23B8"/>
    <w:rsid w:val="001B523C"/>
    <w:rsid w:val="0022691A"/>
    <w:rsid w:val="00227BE0"/>
    <w:rsid w:val="002913BC"/>
    <w:rsid w:val="0034262A"/>
    <w:rsid w:val="003C7EFB"/>
    <w:rsid w:val="00401994"/>
    <w:rsid w:val="00596CBF"/>
    <w:rsid w:val="00641FD3"/>
    <w:rsid w:val="0076371D"/>
    <w:rsid w:val="00777AF0"/>
    <w:rsid w:val="00800DD2"/>
    <w:rsid w:val="0081372E"/>
    <w:rsid w:val="008666BB"/>
    <w:rsid w:val="009119B3"/>
    <w:rsid w:val="00926AEC"/>
    <w:rsid w:val="009A3EB9"/>
    <w:rsid w:val="00A01A69"/>
    <w:rsid w:val="00B50A74"/>
    <w:rsid w:val="00CE6E43"/>
    <w:rsid w:val="00D36341"/>
    <w:rsid w:val="00E5176F"/>
    <w:rsid w:val="00E852BD"/>
    <w:rsid w:val="00EA0C11"/>
    <w:rsid w:val="00F16811"/>
    <w:rsid w:val="00F6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E623EA"/>
  <w15:docId w15:val="{2999BC9F-9646-4458-BE85-E5203362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AEC"/>
    <w:pPr>
      <w:spacing w:after="0" w:line="240" w:lineRule="auto"/>
    </w:pPr>
    <w:rPr>
      <w:rFonts w:ascii="Calibri" w:hAnsi="Calibri" w:cs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6AEC"/>
    <w:pPr>
      <w:tabs>
        <w:tab w:val="center" w:pos="4252"/>
        <w:tab w:val="right" w:pos="8504"/>
      </w:tabs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26AEC"/>
    <w:rPr>
      <w:rFonts w:ascii="Times New Roman" w:eastAsiaTheme="minorEastAsia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26AEC"/>
    <w:pPr>
      <w:tabs>
        <w:tab w:val="center" w:pos="4252"/>
        <w:tab w:val="right" w:pos="8504"/>
      </w:tabs>
    </w:pPr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926AEC"/>
    <w:rPr>
      <w:rFonts w:ascii="Times New Roman" w:eastAsiaTheme="minorEastAsia" w:hAnsi="Times New Roman" w:cs="Times New Roman"/>
      <w:sz w:val="20"/>
      <w:szCs w:val="20"/>
      <w:lang w:eastAsia="pt-BR"/>
    </w:rPr>
  </w:style>
  <w:style w:type="character" w:customStyle="1" w:styleId="charattribute12">
    <w:name w:val="charattribute12"/>
    <w:basedOn w:val="Fontepargpadro"/>
    <w:rsid w:val="00926AEC"/>
  </w:style>
  <w:style w:type="character" w:customStyle="1" w:styleId="charattribute13">
    <w:name w:val="charattribute13"/>
    <w:basedOn w:val="Fontepargpadro"/>
    <w:rsid w:val="00926AEC"/>
  </w:style>
  <w:style w:type="paragraph" w:styleId="Textodebalo">
    <w:name w:val="Balloon Text"/>
    <w:basedOn w:val="Normal"/>
    <w:link w:val="TextodebaloChar"/>
    <w:uiPriority w:val="99"/>
    <w:semiHidden/>
    <w:unhideWhenUsed/>
    <w:rsid w:val="00926AE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AE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926AEC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96C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730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thayanne.braga</dc:creator>
  <cp:lastModifiedBy>ARM SA - Elisa Tavora</cp:lastModifiedBy>
  <cp:revision>2</cp:revision>
  <cp:lastPrinted>2020-07-13T22:14:00Z</cp:lastPrinted>
  <dcterms:created xsi:type="dcterms:W3CDTF">2020-12-29T14:25:00Z</dcterms:created>
  <dcterms:modified xsi:type="dcterms:W3CDTF">2020-12-29T14:25:00Z</dcterms:modified>
</cp:coreProperties>
</file>